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E2" w:rsidRPr="008E44E4" w:rsidRDefault="005C5EE2" w:rsidP="001069D7">
      <w:pPr>
        <w:pStyle w:val="Nagwek1"/>
        <w:pBdr>
          <w:bottom w:val="single" w:sz="4" w:space="1" w:color="auto"/>
        </w:pBdr>
        <w:spacing w:before="0" w:line="360" w:lineRule="exact"/>
        <w:contextualSpacing/>
        <w:rPr>
          <w:color w:val="auto"/>
          <w:sz w:val="24"/>
          <w:szCs w:val="24"/>
        </w:rPr>
      </w:pPr>
      <w:bookmarkStart w:id="0" w:name="_Toc30159888"/>
      <w:r w:rsidRPr="008E44E4">
        <w:rPr>
          <w:color w:val="auto"/>
          <w:sz w:val="24"/>
          <w:szCs w:val="24"/>
        </w:rPr>
        <w:t>UTRWALANIE</w:t>
      </w:r>
      <w:bookmarkEnd w:id="0"/>
      <w:r w:rsidRPr="008E44E4">
        <w:rPr>
          <w:color w:val="auto"/>
          <w:sz w:val="24"/>
          <w:szCs w:val="24"/>
        </w:rPr>
        <w:t xml:space="preserve"> </w:t>
      </w:r>
    </w:p>
    <w:p w:rsidR="00BD69E0" w:rsidRDefault="00BD69E0" w:rsidP="00BD69E0">
      <w:pPr>
        <w:pStyle w:val="Akapitzlist"/>
        <w:spacing w:after="0" w:line="360" w:lineRule="exact"/>
        <w:ind w:left="426"/>
        <w:jc w:val="both"/>
        <w:rPr>
          <w:rFonts w:asciiTheme="majorHAnsi" w:hAnsiTheme="majorHAnsi"/>
          <w:sz w:val="24"/>
          <w:szCs w:val="24"/>
        </w:rPr>
      </w:pPr>
    </w:p>
    <w:p w:rsidR="005C5EE2" w:rsidRPr="008E44E4" w:rsidRDefault="005C5EE2" w:rsidP="001069D7">
      <w:pPr>
        <w:pStyle w:val="Akapitzlist"/>
        <w:numPr>
          <w:ilvl w:val="0"/>
          <w:numId w:val="1"/>
        </w:numPr>
        <w:spacing w:after="0" w:line="360" w:lineRule="exact"/>
        <w:ind w:left="426" w:hanging="426"/>
        <w:jc w:val="both"/>
        <w:rPr>
          <w:rFonts w:asciiTheme="majorHAnsi" w:hAnsiTheme="majorHAnsi"/>
          <w:sz w:val="24"/>
          <w:szCs w:val="24"/>
        </w:rPr>
      </w:pPr>
      <w:r w:rsidRPr="008E44E4">
        <w:rPr>
          <w:rFonts w:asciiTheme="majorHAnsi" w:hAnsiTheme="majorHAnsi"/>
          <w:sz w:val="24"/>
          <w:szCs w:val="24"/>
        </w:rPr>
        <w:t>Jako pojemniki transportowe należy</w:t>
      </w:r>
      <w:r w:rsidR="000D50BA" w:rsidRPr="008E44E4">
        <w:rPr>
          <w:rFonts w:asciiTheme="majorHAnsi" w:hAnsiTheme="majorHAnsi"/>
          <w:sz w:val="24"/>
          <w:szCs w:val="24"/>
        </w:rPr>
        <w:t xml:space="preserve"> wyłącznie</w:t>
      </w:r>
      <w:r w:rsidRPr="008E44E4">
        <w:rPr>
          <w:rFonts w:asciiTheme="majorHAnsi" w:hAnsiTheme="majorHAnsi"/>
          <w:sz w:val="24"/>
          <w:szCs w:val="24"/>
        </w:rPr>
        <w:t xml:space="preserve"> stosować </w:t>
      </w:r>
      <w:r w:rsidR="000D50BA" w:rsidRPr="008E44E4">
        <w:rPr>
          <w:rFonts w:asciiTheme="majorHAnsi" w:hAnsiTheme="majorHAnsi"/>
          <w:sz w:val="24"/>
          <w:szCs w:val="24"/>
        </w:rPr>
        <w:t>specjalne</w:t>
      </w:r>
      <w:r w:rsidRPr="008E44E4">
        <w:rPr>
          <w:rFonts w:asciiTheme="majorHAnsi" w:hAnsiTheme="majorHAnsi"/>
          <w:sz w:val="24"/>
          <w:szCs w:val="24"/>
        </w:rPr>
        <w:t xml:space="preserve"> pojemniki na </w:t>
      </w:r>
      <w:r w:rsidR="000D50BA" w:rsidRPr="008E44E4">
        <w:rPr>
          <w:rFonts w:asciiTheme="majorHAnsi" w:hAnsiTheme="majorHAnsi"/>
          <w:sz w:val="24"/>
          <w:szCs w:val="24"/>
        </w:rPr>
        <w:t>materiał</w:t>
      </w:r>
      <w:r w:rsidRPr="008E44E4">
        <w:rPr>
          <w:rFonts w:asciiTheme="majorHAnsi" w:hAnsiTheme="majorHAnsi"/>
          <w:sz w:val="24"/>
          <w:szCs w:val="24"/>
        </w:rPr>
        <w:t xml:space="preserve"> tkankow</w:t>
      </w:r>
      <w:r w:rsidR="000D50BA" w:rsidRPr="008E44E4">
        <w:rPr>
          <w:rFonts w:asciiTheme="majorHAnsi" w:hAnsiTheme="majorHAnsi"/>
          <w:sz w:val="24"/>
          <w:szCs w:val="24"/>
        </w:rPr>
        <w:t>y</w:t>
      </w:r>
      <w:r w:rsidRPr="008E44E4">
        <w:rPr>
          <w:rFonts w:asciiTheme="majorHAnsi" w:hAnsiTheme="majorHAnsi"/>
          <w:sz w:val="24"/>
          <w:szCs w:val="24"/>
        </w:rPr>
        <w:t xml:space="preserve"> (sterylność nie jest </w:t>
      </w:r>
      <w:proofErr w:type="gramStart"/>
      <w:r w:rsidRPr="008E44E4">
        <w:rPr>
          <w:rFonts w:asciiTheme="majorHAnsi" w:hAnsiTheme="majorHAnsi"/>
          <w:sz w:val="24"/>
          <w:szCs w:val="24"/>
        </w:rPr>
        <w:t>wymagana).</w:t>
      </w:r>
      <w:r w:rsidR="00E35EEE" w:rsidRPr="008E44E4">
        <w:rPr>
          <w:rFonts w:asciiTheme="majorHAnsi" w:hAnsiTheme="majorHAnsi"/>
          <w:sz w:val="24"/>
          <w:szCs w:val="24"/>
        </w:rPr>
        <w:t xml:space="preserve"> </w:t>
      </w:r>
      <w:proofErr w:type="gramEnd"/>
      <w:r w:rsidR="001314A6" w:rsidRPr="008E44E4">
        <w:rPr>
          <w:rFonts w:asciiTheme="majorHAnsi" w:hAnsiTheme="majorHAnsi"/>
          <w:sz w:val="24"/>
          <w:szCs w:val="24"/>
        </w:rPr>
        <w:t>Nie wolno używać</w:t>
      </w:r>
      <w:r w:rsidR="00E35EEE" w:rsidRPr="008E44E4">
        <w:rPr>
          <w:rFonts w:asciiTheme="majorHAnsi" w:hAnsiTheme="majorHAnsi"/>
          <w:sz w:val="24"/>
          <w:szCs w:val="24"/>
        </w:rPr>
        <w:t xml:space="preserve"> czerwonych pojemników na odpady medyczne i innych pojemników </w:t>
      </w:r>
      <w:r w:rsidR="00893731" w:rsidRPr="008E44E4">
        <w:rPr>
          <w:rFonts w:asciiTheme="majorHAnsi" w:hAnsiTheme="majorHAnsi"/>
          <w:sz w:val="24"/>
          <w:szCs w:val="24"/>
        </w:rPr>
        <w:t>nieprzeznaczonych</w:t>
      </w:r>
      <w:r w:rsidR="00E35EEE" w:rsidRPr="008E44E4">
        <w:rPr>
          <w:rFonts w:asciiTheme="majorHAnsi" w:hAnsiTheme="majorHAnsi"/>
          <w:sz w:val="24"/>
          <w:szCs w:val="24"/>
        </w:rPr>
        <w:t xml:space="preserve"> do transportu materiału utrwalonego formaliną np. słoik.</w:t>
      </w:r>
    </w:p>
    <w:p w:rsidR="00E35EEE" w:rsidRPr="008E44E4" w:rsidRDefault="00E35EEE" w:rsidP="001069D7">
      <w:pPr>
        <w:pStyle w:val="Akapitzlist"/>
        <w:spacing w:after="0" w:line="360" w:lineRule="exact"/>
        <w:ind w:left="567" w:hanging="426"/>
        <w:jc w:val="both"/>
        <w:rPr>
          <w:rFonts w:asciiTheme="majorHAnsi" w:hAnsiTheme="majorHAnsi"/>
          <w:sz w:val="24"/>
          <w:szCs w:val="24"/>
        </w:rPr>
      </w:pPr>
    </w:p>
    <w:p w:rsidR="007F245B" w:rsidRPr="008E44E4" w:rsidRDefault="005C5EE2" w:rsidP="001069D7">
      <w:pPr>
        <w:pStyle w:val="Akapitzlist"/>
        <w:numPr>
          <w:ilvl w:val="0"/>
          <w:numId w:val="1"/>
        </w:numPr>
        <w:spacing w:after="0" w:line="360" w:lineRule="exact"/>
        <w:ind w:left="426" w:hanging="426"/>
        <w:jc w:val="both"/>
        <w:rPr>
          <w:rFonts w:asciiTheme="majorHAnsi" w:hAnsiTheme="majorHAnsi"/>
          <w:sz w:val="24"/>
          <w:szCs w:val="24"/>
        </w:rPr>
      </w:pPr>
      <w:r w:rsidRPr="008E44E4">
        <w:rPr>
          <w:rFonts w:asciiTheme="majorHAnsi" w:hAnsiTheme="majorHAnsi"/>
          <w:sz w:val="24"/>
          <w:szCs w:val="24"/>
        </w:rPr>
        <w:t xml:space="preserve">Materiał tkankowy, bezpośrednio po pobraniu, należy umieścić w pojemniku zawierającym ok. 1O-krotnie większą objętość utrwalacza (formaliny) w proporcji do objętości tkanki (ilość minimalna). Należy pamiętać, aby </w:t>
      </w:r>
      <w:r w:rsidR="00B8327B" w:rsidRPr="008E44E4">
        <w:rPr>
          <w:rFonts w:asciiTheme="majorHAnsi" w:hAnsiTheme="majorHAnsi"/>
          <w:sz w:val="24"/>
          <w:szCs w:val="24"/>
        </w:rPr>
        <w:t>pojemnik był proporcjonalnej wielkości w stosunku do objętości materiału tkankowego,</w:t>
      </w:r>
      <w:r w:rsidRPr="008E44E4">
        <w:rPr>
          <w:rFonts w:asciiTheme="majorHAnsi" w:hAnsiTheme="majorHAnsi"/>
          <w:sz w:val="24"/>
          <w:szCs w:val="24"/>
        </w:rPr>
        <w:t xml:space="preserve"> zapewniając dostateczną objętość dla utrwalacza.</w:t>
      </w:r>
      <w:r w:rsidR="00CE08A2" w:rsidRPr="008E44E4">
        <w:rPr>
          <w:rFonts w:asciiTheme="majorHAnsi" w:hAnsiTheme="majorHAnsi"/>
          <w:sz w:val="24"/>
          <w:szCs w:val="24"/>
        </w:rPr>
        <w:t xml:space="preserve"> Wycinki muszą być całkowicie zatopione w utrwalaczu</w:t>
      </w:r>
      <w:r w:rsidR="00B8327B" w:rsidRPr="008E44E4">
        <w:rPr>
          <w:rFonts w:asciiTheme="majorHAnsi" w:hAnsiTheme="majorHAnsi"/>
          <w:sz w:val="24"/>
          <w:szCs w:val="24"/>
        </w:rPr>
        <w:t>.</w:t>
      </w:r>
    </w:p>
    <w:p w:rsidR="007F245B" w:rsidRPr="008E44E4" w:rsidRDefault="007F245B" w:rsidP="001069D7">
      <w:pPr>
        <w:pStyle w:val="Akapitzlist"/>
        <w:spacing w:after="0" w:line="360" w:lineRule="exact"/>
        <w:ind w:hanging="426"/>
        <w:rPr>
          <w:rFonts w:asciiTheme="majorHAnsi" w:hAnsiTheme="majorHAnsi"/>
          <w:sz w:val="24"/>
          <w:szCs w:val="24"/>
        </w:rPr>
      </w:pPr>
    </w:p>
    <w:p w:rsidR="007F245B" w:rsidRPr="008E44E4" w:rsidRDefault="005C5EE2" w:rsidP="001069D7">
      <w:pPr>
        <w:pStyle w:val="Akapitzlist"/>
        <w:numPr>
          <w:ilvl w:val="0"/>
          <w:numId w:val="1"/>
        </w:numPr>
        <w:spacing w:after="0" w:line="360" w:lineRule="exact"/>
        <w:ind w:left="426" w:hanging="426"/>
        <w:jc w:val="both"/>
        <w:rPr>
          <w:rFonts w:asciiTheme="majorHAnsi" w:hAnsiTheme="majorHAnsi"/>
          <w:sz w:val="24"/>
          <w:szCs w:val="24"/>
        </w:rPr>
      </w:pPr>
      <w:r w:rsidRPr="008E44E4">
        <w:rPr>
          <w:rFonts w:asciiTheme="majorHAnsi" w:hAnsiTheme="majorHAnsi"/>
          <w:sz w:val="24"/>
          <w:szCs w:val="24"/>
        </w:rPr>
        <w:t>Bardzo duże preparaty pooperacyjne (całe narządy lub ich fragmenty - np.: macice, nerki, sutki,</w:t>
      </w:r>
      <w:r w:rsidR="007F245B" w:rsidRPr="008E44E4">
        <w:rPr>
          <w:rFonts w:asciiTheme="majorHAnsi" w:hAnsiTheme="majorHAnsi"/>
          <w:sz w:val="24"/>
          <w:szCs w:val="24"/>
        </w:rPr>
        <w:t xml:space="preserve"> </w:t>
      </w:r>
      <w:r w:rsidRPr="008E44E4">
        <w:rPr>
          <w:rFonts w:asciiTheme="majorHAnsi" w:hAnsiTheme="majorHAnsi"/>
          <w:sz w:val="24"/>
          <w:szCs w:val="24"/>
        </w:rPr>
        <w:t xml:space="preserve">fragmenty jelit, itp.) należy umieszczać w </w:t>
      </w:r>
      <w:r w:rsidR="009325D2" w:rsidRPr="008E44E4">
        <w:rPr>
          <w:rFonts w:asciiTheme="majorHAnsi" w:hAnsiTheme="majorHAnsi"/>
          <w:sz w:val="24"/>
          <w:szCs w:val="24"/>
        </w:rPr>
        <w:t>odpowiednio większych</w:t>
      </w:r>
      <w:r w:rsidRPr="008E44E4">
        <w:rPr>
          <w:rFonts w:asciiTheme="majorHAnsi" w:hAnsiTheme="majorHAnsi"/>
          <w:sz w:val="24"/>
          <w:szCs w:val="24"/>
        </w:rPr>
        <w:t xml:space="preserve"> pojemnikach. W przypadku braku możliwości zatopienia całości narządu w utrwalaczu, wystającą część tkanki należy przykryć gazą (nie ligniną) nasączoną utrwalaczem. Brzegi gazy zanurzyć w utrwalaczu (gaza musi być zawsze mokra).</w:t>
      </w:r>
    </w:p>
    <w:p w:rsidR="007F245B" w:rsidRPr="008E44E4" w:rsidRDefault="007F245B" w:rsidP="001069D7">
      <w:pPr>
        <w:pStyle w:val="Akapitzlist"/>
        <w:spacing w:after="0" w:line="360" w:lineRule="exact"/>
        <w:ind w:hanging="426"/>
        <w:rPr>
          <w:rFonts w:asciiTheme="majorHAnsi" w:hAnsiTheme="majorHAnsi"/>
          <w:sz w:val="24"/>
          <w:szCs w:val="24"/>
        </w:rPr>
      </w:pPr>
    </w:p>
    <w:p w:rsidR="007F245B" w:rsidRPr="008E44E4" w:rsidRDefault="005C5EE2" w:rsidP="001069D7">
      <w:pPr>
        <w:pStyle w:val="Akapitzlist"/>
        <w:numPr>
          <w:ilvl w:val="0"/>
          <w:numId w:val="1"/>
        </w:numPr>
        <w:spacing w:after="0" w:line="360" w:lineRule="exact"/>
        <w:ind w:left="426" w:hanging="426"/>
        <w:jc w:val="both"/>
        <w:rPr>
          <w:rFonts w:asciiTheme="majorHAnsi" w:hAnsiTheme="majorHAnsi"/>
          <w:sz w:val="24"/>
          <w:szCs w:val="24"/>
        </w:rPr>
      </w:pPr>
      <w:r w:rsidRPr="008E44E4">
        <w:rPr>
          <w:rFonts w:asciiTheme="majorHAnsi" w:hAnsiTheme="majorHAnsi"/>
          <w:sz w:val="24"/>
          <w:szCs w:val="24"/>
        </w:rPr>
        <w:t xml:space="preserve">W przypadkach przesyłania dużych bloków tkankowych np. narząd rodny, pierś czy jelito z guzem, gdy szacowany czas transportu przekroczy 48 godzin, zalecane jest wykonanie przez chirurga pojedynczego cięcia przez guz wraz z </w:t>
      </w:r>
      <w:r w:rsidR="00B814F3" w:rsidRPr="008E44E4">
        <w:rPr>
          <w:rFonts w:asciiTheme="majorHAnsi" w:hAnsiTheme="majorHAnsi"/>
          <w:sz w:val="24"/>
          <w:szCs w:val="24"/>
        </w:rPr>
        <w:t xml:space="preserve">rozdzieleniem linii cięcia i </w:t>
      </w:r>
      <w:r w:rsidRPr="008E44E4">
        <w:rPr>
          <w:rFonts w:asciiTheme="majorHAnsi" w:hAnsiTheme="majorHAnsi"/>
          <w:sz w:val="24"/>
          <w:szCs w:val="24"/>
        </w:rPr>
        <w:t>umieszczeniem tam gazika- ów i dopiero wtedy umieszczenie tkanek w pojemniku z utrwalaczem.</w:t>
      </w:r>
    </w:p>
    <w:p w:rsidR="007F245B" w:rsidRPr="008E44E4" w:rsidRDefault="007F245B" w:rsidP="001069D7">
      <w:pPr>
        <w:pStyle w:val="Akapitzlist"/>
        <w:spacing w:after="0" w:line="360" w:lineRule="exact"/>
        <w:ind w:hanging="426"/>
        <w:rPr>
          <w:rFonts w:asciiTheme="majorHAnsi" w:hAnsiTheme="majorHAnsi"/>
          <w:sz w:val="24"/>
          <w:szCs w:val="24"/>
        </w:rPr>
      </w:pPr>
    </w:p>
    <w:p w:rsidR="005C5EE2" w:rsidRPr="008E44E4" w:rsidRDefault="005C5EE2" w:rsidP="001069D7">
      <w:pPr>
        <w:pStyle w:val="Akapitzlist"/>
        <w:numPr>
          <w:ilvl w:val="0"/>
          <w:numId w:val="1"/>
        </w:numPr>
        <w:spacing w:after="0" w:line="360" w:lineRule="exact"/>
        <w:ind w:left="426" w:hanging="426"/>
        <w:jc w:val="both"/>
        <w:rPr>
          <w:rFonts w:asciiTheme="majorHAnsi" w:hAnsiTheme="majorHAnsi"/>
          <w:sz w:val="24"/>
          <w:szCs w:val="24"/>
        </w:rPr>
      </w:pPr>
      <w:r w:rsidRPr="008E44E4">
        <w:rPr>
          <w:rFonts w:asciiTheme="majorHAnsi" w:hAnsiTheme="majorHAnsi"/>
          <w:sz w:val="24"/>
          <w:szCs w:val="24"/>
        </w:rPr>
        <w:t>W przypadku pojemników z materiałem tkankowym, który nie zmieści się w standardowych pojemnikach transportowych, dopuszcza się użycie wyłącznie worka przezroczystego z czytelną informacją o miejscu dostarczenia. Należy wykluczyć wszelkie okoliczności wprowadzające w błąd osoby odbierające materiał histopatologiczny do badań lub osoby odpowiedzialne za utylizacje odpadów medycznych.</w:t>
      </w:r>
    </w:p>
    <w:p w:rsidR="00ED1169" w:rsidRPr="008E44E4" w:rsidRDefault="00ED1169" w:rsidP="001069D7">
      <w:pPr>
        <w:spacing w:after="0" w:line="360" w:lineRule="exact"/>
        <w:contextualSpacing/>
        <w:jc w:val="both"/>
        <w:rPr>
          <w:rFonts w:asciiTheme="majorHAnsi" w:hAnsiTheme="majorHAnsi"/>
          <w:b/>
          <w:sz w:val="24"/>
          <w:szCs w:val="24"/>
        </w:rPr>
      </w:pPr>
    </w:p>
    <w:p w:rsidR="00602F87" w:rsidRPr="008E44E4" w:rsidRDefault="00602F87" w:rsidP="001069D7">
      <w:pPr>
        <w:spacing w:after="0" w:line="360" w:lineRule="exact"/>
        <w:contextualSpacing/>
        <w:jc w:val="both"/>
        <w:rPr>
          <w:rFonts w:asciiTheme="majorHAnsi" w:hAnsiTheme="majorHAnsi"/>
          <w:b/>
          <w:sz w:val="24"/>
          <w:szCs w:val="24"/>
        </w:rPr>
      </w:pPr>
    </w:p>
    <w:p w:rsidR="00602F87" w:rsidRPr="008E44E4" w:rsidRDefault="00602F87" w:rsidP="001069D7">
      <w:pPr>
        <w:spacing w:after="0" w:line="360" w:lineRule="exact"/>
        <w:contextualSpacing/>
        <w:jc w:val="both"/>
        <w:rPr>
          <w:rFonts w:asciiTheme="majorHAnsi" w:hAnsiTheme="majorHAnsi"/>
          <w:b/>
          <w:sz w:val="24"/>
          <w:szCs w:val="24"/>
        </w:rPr>
      </w:pPr>
    </w:p>
    <w:p w:rsidR="001069D7" w:rsidRPr="008E44E4" w:rsidRDefault="001069D7" w:rsidP="001069D7">
      <w:pPr>
        <w:spacing w:after="0" w:line="360" w:lineRule="exact"/>
        <w:contextualSpacing/>
        <w:jc w:val="both"/>
        <w:rPr>
          <w:rFonts w:asciiTheme="majorHAnsi" w:hAnsiTheme="majorHAnsi"/>
          <w:b/>
          <w:sz w:val="24"/>
          <w:szCs w:val="24"/>
        </w:rPr>
      </w:pPr>
    </w:p>
    <w:p w:rsidR="001069D7" w:rsidRPr="008E44E4" w:rsidRDefault="001069D7" w:rsidP="001069D7">
      <w:pPr>
        <w:spacing w:after="0" w:line="360" w:lineRule="exact"/>
        <w:contextualSpacing/>
        <w:jc w:val="both"/>
        <w:rPr>
          <w:rFonts w:asciiTheme="majorHAnsi" w:hAnsiTheme="majorHAnsi"/>
          <w:b/>
          <w:sz w:val="24"/>
          <w:szCs w:val="24"/>
        </w:rPr>
      </w:pPr>
    </w:p>
    <w:p w:rsidR="001069D7" w:rsidRPr="008E44E4" w:rsidRDefault="001069D7" w:rsidP="001069D7">
      <w:pPr>
        <w:spacing w:after="0" w:line="360" w:lineRule="exact"/>
        <w:contextualSpacing/>
        <w:jc w:val="both"/>
        <w:rPr>
          <w:rFonts w:asciiTheme="majorHAnsi" w:hAnsiTheme="majorHAnsi"/>
          <w:b/>
          <w:sz w:val="24"/>
          <w:szCs w:val="24"/>
        </w:rPr>
      </w:pPr>
    </w:p>
    <w:p w:rsidR="005C5EE2" w:rsidRPr="008E44E4" w:rsidRDefault="005C5EE2" w:rsidP="001069D7">
      <w:pPr>
        <w:spacing w:after="0" w:line="360" w:lineRule="exact"/>
        <w:contextualSpacing/>
        <w:jc w:val="both"/>
        <w:rPr>
          <w:rFonts w:asciiTheme="majorHAnsi" w:hAnsiTheme="majorHAnsi"/>
          <w:b/>
          <w:sz w:val="24"/>
          <w:szCs w:val="24"/>
        </w:rPr>
      </w:pPr>
      <w:r w:rsidRPr="008E44E4">
        <w:rPr>
          <w:rFonts w:asciiTheme="majorHAnsi" w:hAnsiTheme="majorHAnsi"/>
          <w:b/>
          <w:sz w:val="24"/>
          <w:szCs w:val="24"/>
        </w:rPr>
        <w:lastRenderedPageBreak/>
        <w:t>Utrwalacz</w:t>
      </w:r>
      <w:r w:rsidR="007F245B" w:rsidRPr="008E44E4">
        <w:rPr>
          <w:rFonts w:asciiTheme="majorHAnsi" w:hAnsiTheme="majorHAnsi"/>
          <w:b/>
          <w:sz w:val="24"/>
          <w:szCs w:val="24"/>
        </w:rPr>
        <w:t xml:space="preserve"> do tkanek</w:t>
      </w:r>
    </w:p>
    <w:p w:rsidR="005C5EE2" w:rsidRPr="008E44E4" w:rsidRDefault="005C5EE2" w:rsidP="001069D7">
      <w:pPr>
        <w:spacing w:after="0" w:line="360" w:lineRule="exact"/>
        <w:contextualSpacing/>
        <w:jc w:val="both"/>
        <w:rPr>
          <w:rFonts w:asciiTheme="majorHAnsi" w:hAnsiTheme="majorHAnsi"/>
          <w:sz w:val="24"/>
          <w:szCs w:val="24"/>
        </w:rPr>
      </w:pPr>
      <w:r w:rsidRPr="008E44E4">
        <w:rPr>
          <w:rFonts w:asciiTheme="majorHAnsi" w:hAnsiTheme="majorHAnsi"/>
          <w:sz w:val="24"/>
          <w:szCs w:val="24"/>
        </w:rPr>
        <w:t xml:space="preserve">Do utrwalania należy stosować od 4% do 10% roztwór formaliny w buforze fosforanowym o </w:t>
      </w:r>
      <w:proofErr w:type="spellStart"/>
      <w:r w:rsidRPr="008E44E4">
        <w:rPr>
          <w:rFonts w:asciiTheme="majorHAnsi" w:hAnsiTheme="majorHAnsi"/>
          <w:sz w:val="24"/>
          <w:szCs w:val="24"/>
        </w:rPr>
        <w:t>pH</w:t>
      </w:r>
      <w:proofErr w:type="spellEnd"/>
      <w:r w:rsidRPr="008E44E4">
        <w:rPr>
          <w:rFonts w:asciiTheme="majorHAnsi" w:hAnsiTheme="majorHAnsi"/>
          <w:sz w:val="24"/>
          <w:szCs w:val="24"/>
        </w:rPr>
        <w:t xml:space="preserve"> pomiędzy od 6,8 do 7,6 optymalnie 7,0-7,4.</w:t>
      </w:r>
    </w:p>
    <w:p w:rsidR="005C5EE2" w:rsidRPr="008E44E4" w:rsidRDefault="005C5EE2" w:rsidP="001069D7">
      <w:pPr>
        <w:spacing w:after="0" w:line="360" w:lineRule="exact"/>
        <w:contextualSpacing/>
        <w:jc w:val="both"/>
        <w:rPr>
          <w:rFonts w:asciiTheme="majorHAnsi" w:hAnsiTheme="majorHAnsi"/>
          <w:sz w:val="24"/>
          <w:szCs w:val="24"/>
        </w:rPr>
      </w:pPr>
      <w:r w:rsidRPr="008E44E4">
        <w:rPr>
          <w:rFonts w:asciiTheme="majorHAnsi" w:hAnsiTheme="majorHAnsi"/>
          <w:sz w:val="24"/>
          <w:szCs w:val="24"/>
        </w:rPr>
        <w:t>Pracownia nie zapewnia zaopatrzenia w formalinę</w:t>
      </w:r>
    </w:p>
    <w:p w:rsidR="005C5EE2" w:rsidRPr="008E44E4" w:rsidRDefault="005C5EE2" w:rsidP="001069D7">
      <w:pPr>
        <w:spacing w:after="0" w:line="360" w:lineRule="exact"/>
        <w:contextualSpacing/>
        <w:jc w:val="both"/>
        <w:rPr>
          <w:rFonts w:asciiTheme="majorHAnsi" w:hAnsiTheme="majorHAnsi"/>
          <w:sz w:val="24"/>
          <w:szCs w:val="24"/>
        </w:rPr>
      </w:pPr>
    </w:p>
    <w:p w:rsidR="005C5EE2" w:rsidRPr="008E44E4" w:rsidRDefault="00602F87" w:rsidP="001069D7">
      <w:pPr>
        <w:spacing w:after="0" w:line="360" w:lineRule="exact"/>
        <w:contextualSpacing/>
        <w:rPr>
          <w:rFonts w:asciiTheme="majorHAnsi" w:hAnsiTheme="majorHAnsi"/>
          <w:b/>
          <w:sz w:val="24"/>
          <w:szCs w:val="24"/>
        </w:rPr>
      </w:pPr>
      <w:r w:rsidRPr="008E44E4">
        <w:rPr>
          <w:rFonts w:asciiTheme="majorHAnsi" w:hAnsiTheme="majorHAnsi"/>
          <w:b/>
          <w:sz w:val="24"/>
          <w:szCs w:val="24"/>
        </w:rPr>
        <w:t xml:space="preserve">OGÓLNE ZASADY </w:t>
      </w:r>
      <w:r w:rsidR="005C5EE2" w:rsidRPr="008E44E4">
        <w:rPr>
          <w:rFonts w:asciiTheme="majorHAnsi" w:hAnsiTheme="majorHAnsi"/>
          <w:b/>
          <w:sz w:val="24"/>
          <w:szCs w:val="24"/>
        </w:rPr>
        <w:t>UTRWALANI</w:t>
      </w:r>
      <w:r w:rsidRPr="008E44E4">
        <w:rPr>
          <w:rFonts w:asciiTheme="majorHAnsi" w:hAnsiTheme="majorHAnsi"/>
          <w:b/>
          <w:sz w:val="24"/>
          <w:szCs w:val="24"/>
        </w:rPr>
        <w:t>A</w:t>
      </w:r>
      <w:r w:rsidR="005C5EE2" w:rsidRPr="008E44E4">
        <w:rPr>
          <w:rFonts w:asciiTheme="majorHAnsi" w:hAnsiTheme="majorHAnsi"/>
          <w:b/>
          <w:sz w:val="24"/>
          <w:szCs w:val="24"/>
        </w:rPr>
        <w:t xml:space="preserve"> PŁYNÓW USTROJOWYCH DO BADANIA HISTOPATOLOGICZNEGO. </w:t>
      </w:r>
    </w:p>
    <w:p w:rsidR="009754DF" w:rsidRPr="008E44E4" w:rsidRDefault="005C5EE2" w:rsidP="001069D7">
      <w:pPr>
        <w:pStyle w:val="Akapitzlist"/>
        <w:numPr>
          <w:ilvl w:val="0"/>
          <w:numId w:val="4"/>
        </w:numPr>
        <w:spacing w:after="0" w:line="360" w:lineRule="exact"/>
        <w:ind w:left="426" w:hanging="426"/>
        <w:jc w:val="both"/>
        <w:rPr>
          <w:rFonts w:asciiTheme="majorHAnsi" w:hAnsiTheme="majorHAnsi"/>
          <w:sz w:val="24"/>
          <w:szCs w:val="24"/>
        </w:rPr>
      </w:pPr>
      <w:r w:rsidRPr="008E44E4">
        <w:rPr>
          <w:rFonts w:asciiTheme="majorHAnsi" w:hAnsiTheme="majorHAnsi"/>
          <w:sz w:val="24"/>
          <w:szCs w:val="24"/>
        </w:rPr>
        <w:t xml:space="preserve">Pobrany płyn należy umieścić w </w:t>
      </w:r>
      <w:r w:rsidR="00602F87" w:rsidRPr="008E44E4">
        <w:rPr>
          <w:rFonts w:asciiTheme="majorHAnsi" w:hAnsiTheme="majorHAnsi"/>
          <w:sz w:val="24"/>
          <w:szCs w:val="24"/>
        </w:rPr>
        <w:t>specjalnym</w:t>
      </w:r>
      <w:r w:rsidRPr="008E44E4">
        <w:rPr>
          <w:rFonts w:asciiTheme="majorHAnsi" w:hAnsiTheme="majorHAnsi"/>
          <w:sz w:val="24"/>
          <w:szCs w:val="24"/>
        </w:rPr>
        <w:t xml:space="preserve"> pojemniku na materiał histopatologiczny pozwalającym na szczelne i pewne zamknięcie na czas transportu do </w:t>
      </w:r>
      <w:r w:rsidR="007F245B" w:rsidRPr="008E44E4">
        <w:rPr>
          <w:rFonts w:asciiTheme="majorHAnsi" w:hAnsiTheme="majorHAnsi"/>
          <w:sz w:val="24"/>
          <w:szCs w:val="24"/>
        </w:rPr>
        <w:t>badania (sterylność</w:t>
      </w:r>
      <w:r w:rsidRPr="008E44E4">
        <w:rPr>
          <w:rFonts w:asciiTheme="majorHAnsi" w:hAnsiTheme="majorHAnsi"/>
          <w:sz w:val="24"/>
          <w:szCs w:val="24"/>
        </w:rPr>
        <w:t xml:space="preserve"> nie jest wymagana</w:t>
      </w:r>
      <w:r w:rsidR="007F245B" w:rsidRPr="008E44E4">
        <w:rPr>
          <w:rFonts w:asciiTheme="majorHAnsi" w:hAnsiTheme="majorHAnsi"/>
          <w:sz w:val="24"/>
          <w:szCs w:val="24"/>
        </w:rPr>
        <w:t>)</w:t>
      </w:r>
      <w:r w:rsidRPr="008E44E4">
        <w:rPr>
          <w:rFonts w:asciiTheme="majorHAnsi" w:hAnsiTheme="majorHAnsi"/>
          <w:sz w:val="24"/>
          <w:szCs w:val="24"/>
        </w:rPr>
        <w:t xml:space="preserve">. Pojemnik musi być opisany zgodnie z podanymi </w:t>
      </w:r>
      <w:r w:rsidR="009754DF" w:rsidRPr="008E44E4">
        <w:rPr>
          <w:rFonts w:asciiTheme="majorHAnsi" w:hAnsiTheme="majorHAnsi"/>
          <w:sz w:val="24"/>
          <w:szCs w:val="24"/>
        </w:rPr>
        <w:t xml:space="preserve">niżej </w:t>
      </w:r>
      <w:r w:rsidRPr="008E44E4">
        <w:rPr>
          <w:rFonts w:asciiTheme="majorHAnsi" w:hAnsiTheme="majorHAnsi"/>
          <w:sz w:val="24"/>
          <w:szCs w:val="24"/>
        </w:rPr>
        <w:t xml:space="preserve">zasadami. </w:t>
      </w:r>
    </w:p>
    <w:p w:rsidR="009754DF" w:rsidRPr="008E44E4" w:rsidRDefault="009754DF" w:rsidP="001069D7">
      <w:pPr>
        <w:pStyle w:val="Akapitzlist"/>
        <w:spacing w:after="0" w:line="360" w:lineRule="exact"/>
        <w:ind w:left="426" w:hanging="426"/>
        <w:jc w:val="both"/>
        <w:rPr>
          <w:rFonts w:asciiTheme="majorHAnsi" w:hAnsiTheme="majorHAnsi"/>
          <w:sz w:val="24"/>
          <w:szCs w:val="24"/>
        </w:rPr>
      </w:pPr>
    </w:p>
    <w:p w:rsidR="009754DF" w:rsidRPr="008E44E4" w:rsidRDefault="005C5EE2" w:rsidP="001069D7">
      <w:pPr>
        <w:pStyle w:val="Akapitzlist"/>
        <w:numPr>
          <w:ilvl w:val="0"/>
          <w:numId w:val="4"/>
        </w:numPr>
        <w:spacing w:after="0" w:line="360" w:lineRule="exact"/>
        <w:ind w:left="426" w:hanging="426"/>
        <w:jc w:val="both"/>
        <w:rPr>
          <w:rFonts w:asciiTheme="majorHAnsi" w:hAnsiTheme="majorHAnsi"/>
          <w:sz w:val="24"/>
          <w:szCs w:val="24"/>
        </w:rPr>
      </w:pPr>
      <w:r w:rsidRPr="008E44E4">
        <w:rPr>
          <w:rFonts w:asciiTheme="majorHAnsi" w:hAnsiTheme="majorHAnsi"/>
          <w:sz w:val="24"/>
          <w:szCs w:val="24"/>
        </w:rPr>
        <w:t>Bezpośrednio po pobraniu płyn należy utrwalić poprzez dodanie do niego mieszaniny formaliny i alkoholu w proporcjach: 300 ml 10% formaliny i 700 ml 96% alkoholu etylowego lub też samym 96% alkoholem etylowym w proporcji</w:t>
      </w:r>
      <w:proofErr w:type="gramStart"/>
      <w:r w:rsidRPr="008E44E4">
        <w:rPr>
          <w:rFonts w:asciiTheme="majorHAnsi" w:hAnsiTheme="majorHAnsi"/>
          <w:sz w:val="24"/>
          <w:szCs w:val="24"/>
        </w:rPr>
        <w:t xml:space="preserve"> 1:1 (tyle</w:t>
      </w:r>
      <w:proofErr w:type="gramEnd"/>
      <w:r w:rsidRPr="008E44E4">
        <w:rPr>
          <w:rFonts w:asciiTheme="majorHAnsi" w:hAnsiTheme="majorHAnsi"/>
          <w:sz w:val="24"/>
          <w:szCs w:val="24"/>
        </w:rPr>
        <w:t xml:space="preserve"> mieszaniny lub alkoholu ile płynu). Po dodaniu mieszaniny lub alkoholu płyn należy ostrożnie wymieszać (nie wytrząsać) i przesłać jak najszybciej do badania (do 24h).</w:t>
      </w:r>
    </w:p>
    <w:p w:rsidR="009754DF" w:rsidRPr="008E44E4" w:rsidRDefault="009754DF" w:rsidP="001069D7">
      <w:pPr>
        <w:pStyle w:val="Akapitzlist"/>
        <w:spacing w:after="0" w:line="360" w:lineRule="exact"/>
        <w:ind w:hanging="426"/>
        <w:rPr>
          <w:rFonts w:asciiTheme="majorHAnsi" w:hAnsiTheme="majorHAnsi"/>
          <w:sz w:val="24"/>
          <w:szCs w:val="24"/>
        </w:rPr>
      </w:pPr>
    </w:p>
    <w:p w:rsidR="005C5EE2" w:rsidRPr="008E44E4" w:rsidRDefault="005C5EE2" w:rsidP="001069D7">
      <w:pPr>
        <w:pStyle w:val="Akapitzlist"/>
        <w:numPr>
          <w:ilvl w:val="0"/>
          <w:numId w:val="4"/>
        </w:numPr>
        <w:spacing w:after="0" w:line="360" w:lineRule="exact"/>
        <w:ind w:left="426" w:hanging="426"/>
        <w:jc w:val="both"/>
        <w:rPr>
          <w:rFonts w:asciiTheme="majorHAnsi" w:hAnsiTheme="majorHAnsi"/>
          <w:sz w:val="24"/>
          <w:szCs w:val="24"/>
        </w:rPr>
      </w:pPr>
      <w:r w:rsidRPr="008E44E4">
        <w:rPr>
          <w:rFonts w:asciiTheme="majorHAnsi" w:hAnsiTheme="majorHAnsi"/>
          <w:sz w:val="24"/>
          <w:szCs w:val="24"/>
        </w:rPr>
        <w:t xml:space="preserve">Jeśli placówka dysponuje wirówką, pobrany płyn należy odwirować. Osad umieścić na szkiełku podstawowym. Drugim szkiełkiem podstawowym delikatnie rozprowadzić materiał po powierzchni, unikając jego zgniecenia, tak by preparat był jak najcieńszy. Preparaty utrwalać w pozycji poziomej poprzez dokładne, obfite spryskanie z odległości ok. 25 cm całego rozmazu specjalistycznym utrwalaczem w aerozolu np. </w:t>
      </w:r>
      <w:proofErr w:type="spellStart"/>
      <w:r w:rsidRPr="008E44E4">
        <w:rPr>
          <w:rFonts w:asciiTheme="majorHAnsi" w:hAnsiTheme="majorHAnsi"/>
          <w:sz w:val="24"/>
          <w:szCs w:val="24"/>
        </w:rPr>
        <w:t>Cytofix’em</w:t>
      </w:r>
      <w:proofErr w:type="spellEnd"/>
      <w:r w:rsidRPr="008E44E4">
        <w:rPr>
          <w:rFonts w:asciiTheme="majorHAnsi" w:hAnsiTheme="majorHAnsi"/>
          <w:sz w:val="24"/>
          <w:szCs w:val="24"/>
        </w:rPr>
        <w:t xml:space="preserve">. Preparaty wkładamy do pojemnika transportowego po wysuszeniu Nie należy nanosić </w:t>
      </w:r>
      <w:proofErr w:type="spellStart"/>
      <w:r w:rsidRPr="008E44E4">
        <w:rPr>
          <w:rFonts w:asciiTheme="majorHAnsi" w:hAnsiTheme="majorHAnsi"/>
          <w:sz w:val="24"/>
          <w:szCs w:val="24"/>
        </w:rPr>
        <w:t>cytofixu</w:t>
      </w:r>
      <w:proofErr w:type="spellEnd"/>
      <w:r w:rsidRPr="008E44E4">
        <w:rPr>
          <w:rFonts w:asciiTheme="majorHAnsi" w:hAnsiTheme="majorHAnsi"/>
          <w:sz w:val="24"/>
          <w:szCs w:val="24"/>
        </w:rPr>
        <w:t xml:space="preserve"> na preparat umieszczony w pojemniku transportowym lub wkładać mokrego preparatu do pojemnika transportowego. Powoduje to przywarcie utrwalacza na szkiełko i całe pudełko. Po zastygnięciu utrwalacza, preparatu nie można wyjąć z opakowania transportowego.  </w:t>
      </w:r>
    </w:p>
    <w:p w:rsidR="0049351B" w:rsidRPr="008E44E4" w:rsidRDefault="0049351B" w:rsidP="001069D7">
      <w:pPr>
        <w:spacing w:after="0" w:line="360" w:lineRule="exact"/>
        <w:contextualSpacing/>
        <w:jc w:val="both"/>
        <w:rPr>
          <w:rFonts w:asciiTheme="majorHAnsi" w:hAnsiTheme="majorHAnsi"/>
          <w:b/>
          <w:sz w:val="24"/>
          <w:szCs w:val="24"/>
        </w:rPr>
      </w:pPr>
    </w:p>
    <w:p w:rsidR="005C5EE2" w:rsidRPr="008E44E4" w:rsidRDefault="005C5EE2" w:rsidP="001069D7">
      <w:pPr>
        <w:pStyle w:val="Nagwek2"/>
        <w:spacing w:before="0" w:line="360" w:lineRule="exact"/>
        <w:contextualSpacing/>
        <w:rPr>
          <w:caps/>
          <w:color w:val="auto"/>
          <w:sz w:val="24"/>
          <w:szCs w:val="24"/>
        </w:rPr>
      </w:pPr>
      <w:bookmarkStart w:id="1" w:name="_Toc30159889"/>
      <w:r w:rsidRPr="008E44E4">
        <w:rPr>
          <w:caps/>
          <w:color w:val="auto"/>
          <w:sz w:val="24"/>
          <w:szCs w:val="24"/>
        </w:rPr>
        <w:t xml:space="preserve">Utrwalanie </w:t>
      </w:r>
      <w:r w:rsidR="00602F87" w:rsidRPr="008E44E4">
        <w:rPr>
          <w:caps/>
          <w:color w:val="auto"/>
          <w:sz w:val="24"/>
          <w:szCs w:val="24"/>
        </w:rPr>
        <w:t>MOCZU</w:t>
      </w:r>
      <w:r w:rsidRPr="008E44E4">
        <w:rPr>
          <w:caps/>
          <w:color w:val="auto"/>
          <w:sz w:val="24"/>
          <w:szCs w:val="24"/>
        </w:rPr>
        <w:t xml:space="preserve"> do badania cytologi</w:t>
      </w:r>
      <w:r w:rsidR="00602F87" w:rsidRPr="008E44E4">
        <w:rPr>
          <w:caps/>
          <w:color w:val="auto"/>
          <w:sz w:val="24"/>
          <w:szCs w:val="24"/>
        </w:rPr>
        <w:t>CZNEGO</w:t>
      </w:r>
      <w:bookmarkEnd w:id="1"/>
    </w:p>
    <w:p w:rsidR="005C5EE2" w:rsidRPr="008E44E4" w:rsidRDefault="005C5EE2" w:rsidP="001069D7">
      <w:pPr>
        <w:spacing w:after="0" w:line="360" w:lineRule="exact"/>
        <w:contextualSpacing/>
        <w:jc w:val="both"/>
        <w:rPr>
          <w:rFonts w:asciiTheme="majorHAnsi" w:hAnsiTheme="majorHAnsi"/>
          <w:sz w:val="24"/>
          <w:szCs w:val="24"/>
        </w:rPr>
      </w:pPr>
      <w:r w:rsidRPr="008E44E4">
        <w:rPr>
          <w:rFonts w:asciiTheme="majorHAnsi" w:hAnsiTheme="majorHAnsi"/>
          <w:sz w:val="24"/>
          <w:szCs w:val="24"/>
        </w:rPr>
        <w:t xml:space="preserve">Powinno się unikać badania porannej porcji moczu z powodu słabo zachowanej morfologii komórek złuszczonych w nocy, które są eksponowane na mocz przez wiele godzin. Najlepiej nadaje się mocz oddany przed południem. Pobrana próbka moczu powinna być dostarczona do pracowni tak szybko jak to możliwe w celu dolania do próbki mieszaniny utrwalającej (jak w cytologii wyżej opisanej).  </w:t>
      </w:r>
    </w:p>
    <w:p w:rsidR="00D755AB" w:rsidRPr="008E44E4" w:rsidRDefault="00D755AB" w:rsidP="001069D7">
      <w:pPr>
        <w:spacing w:after="0" w:line="360" w:lineRule="exact"/>
        <w:contextualSpacing/>
        <w:jc w:val="both"/>
        <w:rPr>
          <w:rFonts w:asciiTheme="majorHAnsi" w:hAnsiTheme="majorHAnsi"/>
          <w:b/>
          <w:sz w:val="24"/>
          <w:szCs w:val="24"/>
        </w:rPr>
      </w:pPr>
    </w:p>
    <w:p w:rsidR="005C5EE2" w:rsidRPr="008E44E4" w:rsidRDefault="00602F87" w:rsidP="001069D7">
      <w:pPr>
        <w:pStyle w:val="Nagwek2"/>
        <w:spacing w:before="0" w:line="360" w:lineRule="exact"/>
        <w:contextualSpacing/>
        <w:rPr>
          <w:caps/>
          <w:color w:val="auto"/>
          <w:sz w:val="24"/>
          <w:szCs w:val="24"/>
        </w:rPr>
      </w:pPr>
      <w:bookmarkStart w:id="2" w:name="_Toc30159890"/>
      <w:r w:rsidRPr="008E44E4">
        <w:rPr>
          <w:caps/>
          <w:color w:val="auto"/>
          <w:sz w:val="24"/>
          <w:szCs w:val="24"/>
        </w:rPr>
        <w:lastRenderedPageBreak/>
        <w:t>SPOSÓB WYKONANIA</w:t>
      </w:r>
      <w:r w:rsidR="005C5EE2" w:rsidRPr="008E44E4">
        <w:rPr>
          <w:caps/>
          <w:color w:val="auto"/>
          <w:sz w:val="24"/>
          <w:szCs w:val="24"/>
        </w:rPr>
        <w:t xml:space="preserve"> i utrwalania preparatów z materiału pochodzącego z biopsji aspiracyjnej cienkoigłowej</w:t>
      </w:r>
      <w:bookmarkEnd w:id="2"/>
    </w:p>
    <w:p w:rsidR="005C5EE2" w:rsidRPr="008E44E4" w:rsidRDefault="005C5EE2" w:rsidP="001069D7">
      <w:pPr>
        <w:spacing w:after="0" w:line="360" w:lineRule="exact"/>
        <w:contextualSpacing/>
        <w:jc w:val="both"/>
        <w:rPr>
          <w:rFonts w:asciiTheme="majorHAnsi" w:hAnsiTheme="majorHAnsi"/>
          <w:sz w:val="24"/>
          <w:szCs w:val="24"/>
        </w:rPr>
      </w:pPr>
      <w:r w:rsidRPr="008E44E4">
        <w:rPr>
          <w:rFonts w:asciiTheme="majorHAnsi" w:hAnsiTheme="majorHAnsi"/>
          <w:sz w:val="24"/>
          <w:szCs w:val="24"/>
        </w:rPr>
        <w:t>Po wykonaniu biopsji, materiał ze strzykawki umieścić na szkiełku podstawowym</w:t>
      </w:r>
      <w:r w:rsidR="009754DF" w:rsidRPr="008E44E4">
        <w:rPr>
          <w:rFonts w:asciiTheme="majorHAnsi" w:hAnsiTheme="majorHAnsi"/>
          <w:sz w:val="24"/>
          <w:szCs w:val="24"/>
        </w:rPr>
        <w:t>.</w:t>
      </w:r>
    </w:p>
    <w:p w:rsidR="005C5EE2" w:rsidRPr="008E44E4" w:rsidRDefault="005C5EE2" w:rsidP="001069D7">
      <w:pPr>
        <w:spacing w:after="0" w:line="360" w:lineRule="exact"/>
        <w:contextualSpacing/>
        <w:jc w:val="both"/>
        <w:rPr>
          <w:rFonts w:asciiTheme="majorHAnsi" w:hAnsiTheme="majorHAnsi"/>
          <w:sz w:val="24"/>
          <w:szCs w:val="24"/>
        </w:rPr>
      </w:pPr>
      <w:r w:rsidRPr="008E44E4">
        <w:rPr>
          <w:rFonts w:asciiTheme="majorHAnsi" w:hAnsiTheme="majorHAnsi"/>
          <w:sz w:val="24"/>
          <w:szCs w:val="24"/>
        </w:rPr>
        <w:t>Drugim szkiełkiem podstawowym delikatnie rozprowadzić materiał po powierzchni, unikając jego zgniecenia, tak by preparat był jak najcieńszy.</w:t>
      </w:r>
    </w:p>
    <w:p w:rsidR="005C5EE2" w:rsidRPr="008E44E4" w:rsidRDefault="005C5EE2" w:rsidP="001069D7">
      <w:pPr>
        <w:spacing w:after="0" w:line="360" w:lineRule="exact"/>
        <w:contextualSpacing/>
        <w:jc w:val="both"/>
        <w:rPr>
          <w:rFonts w:asciiTheme="majorHAnsi" w:hAnsiTheme="majorHAnsi"/>
          <w:sz w:val="24"/>
          <w:szCs w:val="24"/>
        </w:rPr>
      </w:pPr>
      <w:r w:rsidRPr="008E44E4">
        <w:rPr>
          <w:rFonts w:asciiTheme="majorHAnsi" w:hAnsiTheme="majorHAnsi"/>
          <w:sz w:val="24"/>
          <w:szCs w:val="24"/>
        </w:rPr>
        <w:t xml:space="preserve">Preparaty utrwalać w pozycji poziomej poprzez dokładne, obfite spryskanie z odległości ok. 25 cm całego rozmazu specjalistycznym utrwalaczem w aerozolu np. </w:t>
      </w:r>
      <w:proofErr w:type="spellStart"/>
      <w:r w:rsidRPr="008E44E4">
        <w:rPr>
          <w:rFonts w:asciiTheme="majorHAnsi" w:hAnsiTheme="majorHAnsi"/>
          <w:sz w:val="24"/>
          <w:szCs w:val="24"/>
        </w:rPr>
        <w:t>Cytofix’em</w:t>
      </w:r>
      <w:proofErr w:type="spellEnd"/>
      <w:r w:rsidRPr="008E44E4">
        <w:rPr>
          <w:rFonts w:asciiTheme="majorHAnsi" w:hAnsiTheme="majorHAnsi"/>
          <w:sz w:val="24"/>
          <w:szCs w:val="24"/>
        </w:rPr>
        <w:t>. Preparaty wkładamy do pojemnika transportowego po wysuszeniu.</w:t>
      </w:r>
      <w:r w:rsidR="001C4EA0" w:rsidRPr="008E44E4">
        <w:rPr>
          <w:rFonts w:asciiTheme="majorHAnsi" w:hAnsiTheme="majorHAnsi"/>
          <w:sz w:val="24"/>
          <w:szCs w:val="24"/>
        </w:rPr>
        <w:t xml:space="preserve"> </w:t>
      </w:r>
      <w:r w:rsidRPr="008E44E4">
        <w:rPr>
          <w:rFonts w:asciiTheme="majorHAnsi" w:hAnsiTheme="majorHAnsi"/>
          <w:sz w:val="24"/>
          <w:szCs w:val="24"/>
        </w:rPr>
        <w:t xml:space="preserve">Nie należy nanosić </w:t>
      </w:r>
      <w:proofErr w:type="spellStart"/>
      <w:r w:rsidRPr="008E44E4">
        <w:rPr>
          <w:rFonts w:asciiTheme="majorHAnsi" w:hAnsiTheme="majorHAnsi"/>
          <w:sz w:val="24"/>
          <w:szCs w:val="24"/>
        </w:rPr>
        <w:t>cytofixu</w:t>
      </w:r>
      <w:proofErr w:type="spellEnd"/>
      <w:r w:rsidRPr="008E44E4">
        <w:rPr>
          <w:rFonts w:asciiTheme="majorHAnsi" w:hAnsiTheme="majorHAnsi"/>
          <w:sz w:val="24"/>
          <w:szCs w:val="24"/>
        </w:rPr>
        <w:t xml:space="preserve"> na preparat umieszczony w pojemniku transportowym lub wkładać mokrego preparatu do pojemnika transportowego. Powoduje to przywarcie utrwalacza na szkiełko i całe pudełko. Po zastygnięciu utrwalacza, preparatu nie można wyjąć z opakowania transportowego.  </w:t>
      </w:r>
    </w:p>
    <w:p w:rsidR="00F05CF6" w:rsidRPr="008E44E4" w:rsidRDefault="005C5EE2" w:rsidP="001069D7">
      <w:pPr>
        <w:spacing w:after="0" w:line="360" w:lineRule="exact"/>
        <w:contextualSpacing/>
        <w:jc w:val="both"/>
        <w:rPr>
          <w:rFonts w:asciiTheme="majorHAnsi" w:hAnsiTheme="majorHAnsi"/>
          <w:sz w:val="24"/>
          <w:szCs w:val="24"/>
        </w:rPr>
      </w:pPr>
      <w:r w:rsidRPr="008E44E4">
        <w:rPr>
          <w:rFonts w:asciiTheme="majorHAnsi" w:hAnsiTheme="majorHAnsi"/>
          <w:sz w:val="24"/>
          <w:szCs w:val="24"/>
        </w:rPr>
        <w:t>Utrwalone rozmazy należy przesłać do Pracowni Patomorfologii najszybciej jak to jest możliwe w specjalnym pudełku transportowym (do 24h)</w:t>
      </w:r>
      <w:bookmarkStart w:id="3" w:name="_GoBack"/>
      <w:bookmarkEnd w:id="3"/>
    </w:p>
    <w:p w:rsidR="009C4FD7" w:rsidRPr="008E44E4" w:rsidRDefault="009C4FD7" w:rsidP="001069D7">
      <w:pPr>
        <w:spacing w:after="0" w:line="360" w:lineRule="exact"/>
        <w:contextualSpacing/>
        <w:jc w:val="both"/>
        <w:rPr>
          <w:rFonts w:asciiTheme="majorHAnsi" w:hAnsiTheme="majorHAnsi"/>
          <w:sz w:val="24"/>
          <w:szCs w:val="24"/>
        </w:rPr>
      </w:pPr>
    </w:p>
    <w:sectPr w:rsidR="009C4FD7" w:rsidRPr="008E44E4" w:rsidSect="003B7F01">
      <w:footerReference w:type="default" r:id="rId9"/>
      <w:pgSz w:w="11906" w:h="16838"/>
      <w:pgMar w:top="1417" w:right="1417" w:bottom="1417" w:left="1417" w:header="708"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0B8" w:rsidRDefault="009960B8" w:rsidP="0031756F">
      <w:pPr>
        <w:spacing w:after="0" w:line="240" w:lineRule="auto"/>
      </w:pPr>
      <w:r>
        <w:separator/>
      </w:r>
    </w:p>
  </w:endnote>
  <w:endnote w:type="continuationSeparator" w:id="0">
    <w:p w:rsidR="009960B8" w:rsidRDefault="009960B8" w:rsidP="0031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749971"/>
      <w:docPartObj>
        <w:docPartGallery w:val="Page Numbers (Bottom of Page)"/>
        <w:docPartUnique/>
      </w:docPartObj>
    </w:sdtPr>
    <w:sdtEndPr/>
    <w:sdtContent>
      <w:p w:rsidR="00602F87" w:rsidRDefault="00602F87">
        <w:pPr>
          <w:pStyle w:val="Stopka"/>
          <w:jc w:val="center"/>
        </w:pPr>
        <w:r>
          <w:fldChar w:fldCharType="begin"/>
        </w:r>
        <w:r>
          <w:instrText>PAGE   \* MERGEFORMAT</w:instrText>
        </w:r>
        <w:r>
          <w:fldChar w:fldCharType="separate"/>
        </w:r>
        <w:r w:rsidR="006733C6">
          <w:rPr>
            <w:noProof/>
          </w:rPr>
          <w:t>2</w:t>
        </w:r>
        <w:r>
          <w:fldChar w:fldCharType="end"/>
        </w:r>
      </w:p>
    </w:sdtContent>
  </w:sdt>
  <w:p w:rsidR="00602F87" w:rsidRDefault="00602F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0B8" w:rsidRDefault="009960B8" w:rsidP="0031756F">
      <w:pPr>
        <w:spacing w:after="0" w:line="240" w:lineRule="auto"/>
      </w:pPr>
      <w:r>
        <w:separator/>
      </w:r>
    </w:p>
  </w:footnote>
  <w:footnote w:type="continuationSeparator" w:id="0">
    <w:p w:rsidR="009960B8" w:rsidRDefault="009960B8" w:rsidP="00317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A40"/>
    <w:multiLevelType w:val="hybridMultilevel"/>
    <w:tmpl w:val="D66689DA"/>
    <w:lvl w:ilvl="0" w:tplc="BEF8A73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FE7BBD"/>
    <w:multiLevelType w:val="hybridMultilevel"/>
    <w:tmpl w:val="1DB27AC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3649FE"/>
    <w:multiLevelType w:val="hybridMultilevel"/>
    <w:tmpl w:val="A998ABB4"/>
    <w:lvl w:ilvl="0" w:tplc="BEF8A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F40E57"/>
    <w:multiLevelType w:val="hybridMultilevel"/>
    <w:tmpl w:val="878A4754"/>
    <w:lvl w:ilvl="0" w:tplc="BEF8A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F4C0B"/>
    <w:multiLevelType w:val="hybridMultilevel"/>
    <w:tmpl w:val="AB6A90B4"/>
    <w:lvl w:ilvl="0" w:tplc="BEF8A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E19F9"/>
    <w:multiLevelType w:val="hybridMultilevel"/>
    <w:tmpl w:val="F15E28C0"/>
    <w:lvl w:ilvl="0" w:tplc="BEF8A73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871EBF"/>
    <w:multiLevelType w:val="hybridMultilevel"/>
    <w:tmpl w:val="1E726E2C"/>
    <w:lvl w:ilvl="0" w:tplc="0415000F">
      <w:start w:val="1"/>
      <w:numFmt w:val="decimal"/>
      <w:lvlText w:val="%1."/>
      <w:lvlJc w:val="left"/>
      <w:pPr>
        <w:ind w:left="720" w:hanging="360"/>
      </w:pPr>
      <w:rPr>
        <w:rFonts w:hint="default"/>
      </w:rPr>
    </w:lvl>
    <w:lvl w:ilvl="1" w:tplc="91DC3E46">
      <w:start w:val="1"/>
      <w:numFmt w:val="lowerLetter"/>
      <w:lvlText w:val="%2)"/>
      <w:lvlJc w:val="left"/>
      <w:pPr>
        <w:ind w:left="1440" w:hanging="360"/>
      </w:pPr>
      <w:rPr>
        <w:rFonts w:hint="default"/>
      </w:rPr>
    </w:lvl>
    <w:lvl w:ilvl="2" w:tplc="BEF8A73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683025"/>
    <w:multiLevelType w:val="hybridMultilevel"/>
    <w:tmpl w:val="507649E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2EC7C40"/>
    <w:multiLevelType w:val="hybridMultilevel"/>
    <w:tmpl w:val="12BE761E"/>
    <w:lvl w:ilvl="0" w:tplc="BEF8A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4E20A3"/>
    <w:multiLevelType w:val="hybridMultilevel"/>
    <w:tmpl w:val="85D490DA"/>
    <w:lvl w:ilvl="0" w:tplc="A2981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8E644A"/>
    <w:multiLevelType w:val="hybridMultilevel"/>
    <w:tmpl w:val="938CE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8F0F4F"/>
    <w:multiLevelType w:val="hybridMultilevel"/>
    <w:tmpl w:val="FC74A3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725EF7"/>
    <w:multiLevelType w:val="hybridMultilevel"/>
    <w:tmpl w:val="BE8232E6"/>
    <w:lvl w:ilvl="0" w:tplc="0415000F">
      <w:start w:val="1"/>
      <w:numFmt w:val="decimal"/>
      <w:lvlText w:val="%1."/>
      <w:lvlJc w:val="left"/>
      <w:pPr>
        <w:ind w:left="720" w:hanging="360"/>
      </w:pPr>
    </w:lvl>
    <w:lvl w:ilvl="1" w:tplc="0526EA8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362FEE"/>
    <w:multiLevelType w:val="hybridMultilevel"/>
    <w:tmpl w:val="D916D9A0"/>
    <w:lvl w:ilvl="0" w:tplc="BEF8A73A">
      <w:start w:val="1"/>
      <w:numFmt w:val="decimal"/>
      <w:lvlText w:val="%1."/>
      <w:lvlJc w:val="left"/>
      <w:pPr>
        <w:ind w:left="720" w:hanging="360"/>
      </w:pPr>
      <w:rPr>
        <w:rFonts w:hint="default"/>
      </w:rPr>
    </w:lvl>
    <w:lvl w:ilvl="1" w:tplc="7A5A46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516D9C"/>
    <w:multiLevelType w:val="hybridMultilevel"/>
    <w:tmpl w:val="B366FC9A"/>
    <w:lvl w:ilvl="0" w:tplc="BEF8A73A">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5">
    <w:nsid w:val="36DC4AAD"/>
    <w:multiLevelType w:val="hybridMultilevel"/>
    <w:tmpl w:val="BA2CB592"/>
    <w:lvl w:ilvl="0" w:tplc="A29815D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D23795"/>
    <w:multiLevelType w:val="hybridMultilevel"/>
    <w:tmpl w:val="77B6076E"/>
    <w:lvl w:ilvl="0" w:tplc="BEF8A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BEF8A73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4C560C"/>
    <w:multiLevelType w:val="hybridMultilevel"/>
    <w:tmpl w:val="9ACC23D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9DA2506"/>
    <w:multiLevelType w:val="hybridMultilevel"/>
    <w:tmpl w:val="20C0D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936633"/>
    <w:multiLevelType w:val="hybridMultilevel"/>
    <w:tmpl w:val="DCD0D0E0"/>
    <w:lvl w:ilvl="0" w:tplc="A2981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C9079D"/>
    <w:multiLevelType w:val="hybridMultilevel"/>
    <w:tmpl w:val="3E8A8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767CD7"/>
    <w:multiLevelType w:val="hybridMultilevel"/>
    <w:tmpl w:val="82020ACA"/>
    <w:lvl w:ilvl="0" w:tplc="0415000F">
      <w:start w:val="1"/>
      <w:numFmt w:val="decimal"/>
      <w:lvlText w:val="%1."/>
      <w:lvlJc w:val="left"/>
      <w:pPr>
        <w:ind w:left="720" w:hanging="360"/>
      </w:pPr>
    </w:lvl>
    <w:lvl w:ilvl="1" w:tplc="5428F60E">
      <w:start w:val="3"/>
      <w:numFmt w:val="bullet"/>
      <w:lvlText w:val="•"/>
      <w:lvlJc w:val="left"/>
      <w:pPr>
        <w:ind w:left="1440" w:hanging="360"/>
      </w:pPr>
      <w:rPr>
        <w:rFonts w:ascii="Cambria" w:eastAsiaTheme="minorHAnsi" w:hAnsi="Cambria"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386A28"/>
    <w:multiLevelType w:val="hybridMultilevel"/>
    <w:tmpl w:val="B0762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7B5D3A"/>
    <w:multiLevelType w:val="hybridMultilevel"/>
    <w:tmpl w:val="AA5AA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E37F13"/>
    <w:multiLevelType w:val="hybridMultilevel"/>
    <w:tmpl w:val="8D4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A46289"/>
    <w:multiLevelType w:val="hybridMultilevel"/>
    <w:tmpl w:val="C54EB2A6"/>
    <w:lvl w:ilvl="0" w:tplc="BEF8A7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11C73B1"/>
    <w:multiLevelType w:val="hybridMultilevel"/>
    <w:tmpl w:val="727EE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351E89"/>
    <w:multiLevelType w:val="hybridMultilevel"/>
    <w:tmpl w:val="34C608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105D20"/>
    <w:multiLevelType w:val="hybridMultilevel"/>
    <w:tmpl w:val="B9E2A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69752E"/>
    <w:multiLevelType w:val="hybridMultilevel"/>
    <w:tmpl w:val="49C44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40555E"/>
    <w:multiLevelType w:val="hybridMultilevel"/>
    <w:tmpl w:val="77F80568"/>
    <w:lvl w:ilvl="0" w:tplc="BEF8A73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BE0C52"/>
    <w:multiLevelType w:val="hybridMultilevel"/>
    <w:tmpl w:val="C232B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3D00C2"/>
    <w:multiLevelType w:val="hybridMultilevel"/>
    <w:tmpl w:val="360E351C"/>
    <w:lvl w:ilvl="0" w:tplc="51D6FCF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AD4CCD"/>
    <w:multiLevelType w:val="hybridMultilevel"/>
    <w:tmpl w:val="B3347B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9A395B"/>
    <w:multiLevelType w:val="hybridMultilevel"/>
    <w:tmpl w:val="3500C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6074A8"/>
    <w:multiLevelType w:val="hybridMultilevel"/>
    <w:tmpl w:val="26DADD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352DA2"/>
    <w:multiLevelType w:val="hybridMultilevel"/>
    <w:tmpl w:val="92BA7B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CB1D70"/>
    <w:multiLevelType w:val="hybridMultilevel"/>
    <w:tmpl w:val="EC145C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92C256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5C3425"/>
    <w:multiLevelType w:val="hybridMultilevel"/>
    <w:tmpl w:val="77BCE6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7D045C"/>
    <w:multiLevelType w:val="hybridMultilevel"/>
    <w:tmpl w:val="F8546386"/>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68EA1CA6"/>
    <w:multiLevelType w:val="hybridMultilevel"/>
    <w:tmpl w:val="2C541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B85461"/>
    <w:multiLevelType w:val="hybridMultilevel"/>
    <w:tmpl w:val="B2C0E8C8"/>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15EE426">
      <w:start w:val="1"/>
      <w:numFmt w:val="decimal"/>
      <w:lvlText w:val="%3."/>
      <w:lvlJc w:val="left"/>
      <w:pPr>
        <w:ind w:left="3393" w:hanging="705"/>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6D302867"/>
    <w:multiLevelType w:val="hybridMultilevel"/>
    <w:tmpl w:val="41DAA78A"/>
    <w:lvl w:ilvl="0" w:tplc="04150019">
      <w:start w:val="1"/>
      <w:numFmt w:val="lowerLetter"/>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3">
    <w:nsid w:val="6D7565EF"/>
    <w:multiLevelType w:val="hybridMultilevel"/>
    <w:tmpl w:val="9D80B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B66DEE"/>
    <w:multiLevelType w:val="hybridMultilevel"/>
    <w:tmpl w:val="3CE0B58E"/>
    <w:lvl w:ilvl="0" w:tplc="BEF8A73A">
      <w:start w:val="1"/>
      <w:numFmt w:val="decimal"/>
      <w:lvlText w:val="%1."/>
      <w:lvlJc w:val="left"/>
      <w:pPr>
        <w:ind w:left="502" w:hanging="360"/>
      </w:pPr>
      <w:rPr>
        <w:rFonts w:hint="default"/>
      </w:rPr>
    </w:lvl>
    <w:lvl w:ilvl="1" w:tplc="04150019">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7ADE59EA"/>
    <w:multiLevelType w:val="hybridMultilevel"/>
    <w:tmpl w:val="5F303E68"/>
    <w:lvl w:ilvl="0" w:tplc="BEF8A73A">
      <w:start w:val="1"/>
      <w:numFmt w:val="decimal"/>
      <w:lvlText w:val="%1."/>
      <w:lvlJc w:val="left"/>
      <w:pPr>
        <w:ind w:left="786" w:hanging="360"/>
      </w:pPr>
      <w:rPr>
        <w:rFonts w:hint="default"/>
      </w:rPr>
    </w:lvl>
    <w:lvl w:ilvl="1" w:tplc="9A52B8BC">
      <w:start w:val="3"/>
      <w:numFmt w:val="decimal"/>
      <w:lvlText w:val="%2"/>
      <w:lvlJc w:val="left"/>
      <w:pPr>
        <w:ind w:left="1440" w:hanging="360"/>
      </w:pPr>
      <w:rPr>
        <w:rFonts w:hint="default"/>
      </w:rPr>
    </w:lvl>
    <w:lvl w:ilvl="2" w:tplc="BEF8A73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BA3FE5"/>
    <w:multiLevelType w:val="hybridMultilevel"/>
    <w:tmpl w:val="EB54A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6"/>
  </w:num>
  <w:num w:numId="3">
    <w:abstractNumId w:val="5"/>
  </w:num>
  <w:num w:numId="4">
    <w:abstractNumId w:val="0"/>
  </w:num>
  <w:num w:numId="5">
    <w:abstractNumId w:val="30"/>
  </w:num>
  <w:num w:numId="6">
    <w:abstractNumId w:val="6"/>
  </w:num>
  <w:num w:numId="7">
    <w:abstractNumId w:val="29"/>
  </w:num>
  <w:num w:numId="8">
    <w:abstractNumId w:val="1"/>
  </w:num>
  <w:num w:numId="9">
    <w:abstractNumId w:val="9"/>
  </w:num>
  <w:num w:numId="10">
    <w:abstractNumId w:val="19"/>
  </w:num>
  <w:num w:numId="11">
    <w:abstractNumId w:val="36"/>
  </w:num>
  <w:num w:numId="12">
    <w:abstractNumId w:val="14"/>
  </w:num>
  <w:num w:numId="13">
    <w:abstractNumId w:val="11"/>
  </w:num>
  <w:num w:numId="14">
    <w:abstractNumId w:val="33"/>
  </w:num>
  <w:num w:numId="15">
    <w:abstractNumId w:val="13"/>
  </w:num>
  <w:num w:numId="16">
    <w:abstractNumId w:val="39"/>
  </w:num>
  <w:num w:numId="17">
    <w:abstractNumId w:val="41"/>
  </w:num>
  <w:num w:numId="18">
    <w:abstractNumId w:val="4"/>
  </w:num>
  <w:num w:numId="19">
    <w:abstractNumId w:val="44"/>
  </w:num>
  <w:num w:numId="20">
    <w:abstractNumId w:val="3"/>
  </w:num>
  <w:num w:numId="21">
    <w:abstractNumId w:val="2"/>
  </w:num>
  <w:num w:numId="22">
    <w:abstractNumId w:val="8"/>
  </w:num>
  <w:num w:numId="23">
    <w:abstractNumId w:val="45"/>
  </w:num>
  <w:num w:numId="24">
    <w:abstractNumId w:val="27"/>
  </w:num>
  <w:num w:numId="25">
    <w:abstractNumId w:val="28"/>
  </w:num>
  <w:num w:numId="26">
    <w:abstractNumId w:val="25"/>
  </w:num>
  <w:num w:numId="27">
    <w:abstractNumId w:val="16"/>
  </w:num>
  <w:num w:numId="28">
    <w:abstractNumId w:val="17"/>
  </w:num>
  <w:num w:numId="29">
    <w:abstractNumId w:val="21"/>
  </w:num>
  <w:num w:numId="30">
    <w:abstractNumId w:val="31"/>
  </w:num>
  <w:num w:numId="31">
    <w:abstractNumId w:val="10"/>
  </w:num>
  <w:num w:numId="32">
    <w:abstractNumId w:val="12"/>
  </w:num>
  <w:num w:numId="33">
    <w:abstractNumId w:val="37"/>
  </w:num>
  <w:num w:numId="34">
    <w:abstractNumId w:val="40"/>
  </w:num>
  <w:num w:numId="35">
    <w:abstractNumId w:val="34"/>
  </w:num>
  <w:num w:numId="36">
    <w:abstractNumId w:val="20"/>
  </w:num>
  <w:num w:numId="37">
    <w:abstractNumId w:val="7"/>
  </w:num>
  <w:num w:numId="38">
    <w:abstractNumId w:val="42"/>
  </w:num>
  <w:num w:numId="39">
    <w:abstractNumId w:val="18"/>
  </w:num>
  <w:num w:numId="40">
    <w:abstractNumId w:val="38"/>
  </w:num>
  <w:num w:numId="41">
    <w:abstractNumId w:val="26"/>
  </w:num>
  <w:num w:numId="42">
    <w:abstractNumId w:val="35"/>
  </w:num>
  <w:num w:numId="43">
    <w:abstractNumId w:val="24"/>
  </w:num>
  <w:num w:numId="44">
    <w:abstractNumId w:val="22"/>
  </w:num>
  <w:num w:numId="45">
    <w:abstractNumId w:val="23"/>
  </w:num>
  <w:num w:numId="46">
    <w:abstractNumId w:val="4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F7"/>
    <w:rsid w:val="000408CC"/>
    <w:rsid w:val="00051F13"/>
    <w:rsid w:val="000664B3"/>
    <w:rsid w:val="0007527A"/>
    <w:rsid w:val="00081C60"/>
    <w:rsid w:val="000A6561"/>
    <w:rsid w:val="000C5198"/>
    <w:rsid w:val="000D50BA"/>
    <w:rsid w:val="000F067D"/>
    <w:rsid w:val="001069D7"/>
    <w:rsid w:val="00106BE4"/>
    <w:rsid w:val="00115C74"/>
    <w:rsid w:val="001314A6"/>
    <w:rsid w:val="00136040"/>
    <w:rsid w:val="001544BB"/>
    <w:rsid w:val="0016533F"/>
    <w:rsid w:val="00167BEC"/>
    <w:rsid w:val="00182307"/>
    <w:rsid w:val="001A0867"/>
    <w:rsid w:val="001A1DEB"/>
    <w:rsid w:val="001B1E1A"/>
    <w:rsid w:val="001B2346"/>
    <w:rsid w:val="001B493F"/>
    <w:rsid w:val="001C12CE"/>
    <w:rsid w:val="001C4EA0"/>
    <w:rsid w:val="001C4FC3"/>
    <w:rsid w:val="001D0BA7"/>
    <w:rsid w:val="001D3A8F"/>
    <w:rsid w:val="001D47CA"/>
    <w:rsid w:val="001D61E6"/>
    <w:rsid w:val="00204837"/>
    <w:rsid w:val="00212B30"/>
    <w:rsid w:val="00215423"/>
    <w:rsid w:val="002274CA"/>
    <w:rsid w:val="00247132"/>
    <w:rsid w:val="002579C2"/>
    <w:rsid w:val="00271E17"/>
    <w:rsid w:val="002A1082"/>
    <w:rsid w:val="002C64AB"/>
    <w:rsid w:val="002E05C1"/>
    <w:rsid w:val="002F2750"/>
    <w:rsid w:val="00311656"/>
    <w:rsid w:val="00314847"/>
    <w:rsid w:val="0031756F"/>
    <w:rsid w:val="0032565F"/>
    <w:rsid w:val="0032567B"/>
    <w:rsid w:val="00337FF2"/>
    <w:rsid w:val="00340E03"/>
    <w:rsid w:val="00351218"/>
    <w:rsid w:val="00353801"/>
    <w:rsid w:val="00366099"/>
    <w:rsid w:val="0038579E"/>
    <w:rsid w:val="003B1FDC"/>
    <w:rsid w:val="003B7F01"/>
    <w:rsid w:val="003E01A6"/>
    <w:rsid w:val="003E5422"/>
    <w:rsid w:val="003F34A5"/>
    <w:rsid w:val="00411367"/>
    <w:rsid w:val="00420558"/>
    <w:rsid w:val="0042189B"/>
    <w:rsid w:val="00467CAD"/>
    <w:rsid w:val="0049351B"/>
    <w:rsid w:val="004A0D66"/>
    <w:rsid w:val="004C66B2"/>
    <w:rsid w:val="004D22CE"/>
    <w:rsid w:val="004D7622"/>
    <w:rsid w:val="00512ADC"/>
    <w:rsid w:val="005367B9"/>
    <w:rsid w:val="0055190D"/>
    <w:rsid w:val="00566642"/>
    <w:rsid w:val="00572655"/>
    <w:rsid w:val="00596764"/>
    <w:rsid w:val="005A0F57"/>
    <w:rsid w:val="005A26EC"/>
    <w:rsid w:val="005A6174"/>
    <w:rsid w:val="005B3D4B"/>
    <w:rsid w:val="005C5EE2"/>
    <w:rsid w:val="005E0684"/>
    <w:rsid w:val="00602F87"/>
    <w:rsid w:val="00613537"/>
    <w:rsid w:val="00614963"/>
    <w:rsid w:val="006322EE"/>
    <w:rsid w:val="00632D9E"/>
    <w:rsid w:val="00636E0D"/>
    <w:rsid w:val="00671629"/>
    <w:rsid w:val="006733C6"/>
    <w:rsid w:val="006859DB"/>
    <w:rsid w:val="00690479"/>
    <w:rsid w:val="00691CDC"/>
    <w:rsid w:val="006A5A1E"/>
    <w:rsid w:val="006B1829"/>
    <w:rsid w:val="00731893"/>
    <w:rsid w:val="0073200A"/>
    <w:rsid w:val="007A2238"/>
    <w:rsid w:val="007C5A28"/>
    <w:rsid w:val="007D1C1F"/>
    <w:rsid w:val="007F245B"/>
    <w:rsid w:val="00814612"/>
    <w:rsid w:val="0082343F"/>
    <w:rsid w:val="008376E4"/>
    <w:rsid w:val="00856B8B"/>
    <w:rsid w:val="0085750A"/>
    <w:rsid w:val="00861C88"/>
    <w:rsid w:val="00875FD7"/>
    <w:rsid w:val="0087672B"/>
    <w:rsid w:val="00886D61"/>
    <w:rsid w:val="008914AE"/>
    <w:rsid w:val="00893731"/>
    <w:rsid w:val="008C257F"/>
    <w:rsid w:val="008E44E4"/>
    <w:rsid w:val="008E4C84"/>
    <w:rsid w:val="0092403B"/>
    <w:rsid w:val="009325D2"/>
    <w:rsid w:val="009366BF"/>
    <w:rsid w:val="009754DF"/>
    <w:rsid w:val="0099277B"/>
    <w:rsid w:val="009960B8"/>
    <w:rsid w:val="00997627"/>
    <w:rsid w:val="009A5DF9"/>
    <w:rsid w:val="009A62F7"/>
    <w:rsid w:val="009C4FD7"/>
    <w:rsid w:val="009D6C93"/>
    <w:rsid w:val="009D776D"/>
    <w:rsid w:val="00A07149"/>
    <w:rsid w:val="00A15CA9"/>
    <w:rsid w:val="00A212AF"/>
    <w:rsid w:val="00A277B8"/>
    <w:rsid w:val="00A723EC"/>
    <w:rsid w:val="00A77C8E"/>
    <w:rsid w:val="00A91175"/>
    <w:rsid w:val="00A925F3"/>
    <w:rsid w:val="00A97874"/>
    <w:rsid w:val="00AA2205"/>
    <w:rsid w:val="00AE1BFF"/>
    <w:rsid w:val="00B12DF2"/>
    <w:rsid w:val="00B43156"/>
    <w:rsid w:val="00B432CB"/>
    <w:rsid w:val="00B47484"/>
    <w:rsid w:val="00B529A1"/>
    <w:rsid w:val="00B768DE"/>
    <w:rsid w:val="00B814F3"/>
    <w:rsid w:val="00B82389"/>
    <w:rsid w:val="00B827CE"/>
    <w:rsid w:val="00B8327B"/>
    <w:rsid w:val="00B8531B"/>
    <w:rsid w:val="00BA3D9B"/>
    <w:rsid w:val="00BB353D"/>
    <w:rsid w:val="00BD69E0"/>
    <w:rsid w:val="00C1544D"/>
    <w:rsid w:val="00C16CAA"/>
    <w:rsid w:val="00C17380"/>
    <w:rsid w:val="00C20507"/>
    <w:rsid w:val="00C22338"/>
    <w:rsid w:val="00C742C2"/>
    <w:rsid w:val="00CB2D7F"/>
    <w:rsid w:val="00CE08A2"/>
    <w:rsid w:val="00D07A8E"/>
    <w:rsid w:val="00D24799"/>
    <w:rsid w:val="00D31AC2"/>
    <w:rsid w:val="00D3248F"/>
    <w:rsid w:val="00D337AD"/>
    <w:rsid w:val="00D755AB"/>
    <w:rsid w:val="00D8164E"/>
    <w:rsid w:val="00D84AA3"/>
    <w:rsid w:val="00D868AC"/>
    <w:rsid w:val="00D86CD6"/>
    <w:rsid w:val="00D9399B"/>
    <w:rsid w:val="00D965E7"/>
    <w:rsid w:val="00DA24FA"/>
    <w:rsid w:val="00DB01D9"/>
    <w:rsid w:val="00DD484D"/>
    <w:rsid w:val="00DE7BEC"/>
    <w:rsid w:val="00E177AC"/>
    <w:rsid w:val="00E20209"/>
    <w:rsid w:val="00E325AD"/>
    <w:rsid w:val="00E35EEE"/>
    <w:rsid w:val="00E63131"/>
    <w:rsid w:val="00E63A0B"/>
    <w:rsid w:val="00E724DA"/>
    <w:rsid w:val="00E73B53"/>
    <w:rsid w:val="00E96C86"/>
    <w:rsid w:val="00EB00CE"/>
    <w:rsid w:val="00EB4D50"/>
    <w:rsid w:val="00EC21F8"/>
    <w:rsid w:val="00ED1169"/>
    <w:rsid w:val="00EE156B"/>
    <w:rsid w:val="00EE51E0"/>
    <w:rsid w:val="00F03080"/>
    <w:rsid w:val="00F05CF6"/>
    <w:rsid w:val="00F2737E"/>
    <w:rsid w:val="00F36553"/>
    <w:rsid w:val="00F41761"/>
    <w:rsid w:val="00F61641"/>
    <w:rsid w:val="00F83E81"/>
    <w:rsid w:val="00F8676A"/>
    <w:rsid w:val="00F915BE"/>
    <w:rsid w:val="00FB0EAF"/>
    <w:rsid w:val="00FB6F04"/>
    <w:rsid w:val="00FD3010"/>
    <w:rsid w:val="00FE7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93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755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5EE2"/>
    <w:pPr>
      <w:ind w:left="720"/>
      <w:contextualSpacing/>
    </w:pPr>
  </w:style>
  <w:style w:type="paragraph" w:styleId="Tekstdymka">
    <w:name w:val="Balloon Text"/>
    <w:basedOn w:val="Normalny"/>
    <w:link w:val="TekstdymkaZnak"/>
    <w:uiPriority w:val="99"/>
    <w:semiHidden/>
    <w:unhideWhenUsed/>
    <w:rsid w:val="000752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527A"/>
    <w:rPr>
      <w:rFonts w:ascii="Tahoma" w:hAnsi="Tahoma" w:cs="Tahoma"/>
      <w:sz w:val="16"/>
      <w:szCs w:val="16"/>
    </w:rPr>
  </w:style>
  <w:style w:type="paragraph" w:styleId="Nagwek">
    <w:name w:val="header"/>
    <w:basedOn w:val="Normalny"/>
    <w:link w:val="NagwekZnak"/>
    <w:uiPriority w:val="99"/>
    <w:unhideWhenUsed/>
    <w:rsid w:val="003175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756F"/>
  </w:style>
  <w:style w:type="paragraph" w:styleId="Stopka">
    <w:name w:val="footer"/>
    <w:basedOn w:val="Normalny"/>
    <w:link w:val="StopkaZnak"/>
    <w:uiPriority w:val="99"/>
    <w:unhideWhenUsed/>
    <w:rsid w:val="003175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756F"/>
  </w:style>
  <w:style w:type="character" w:styleId="Hipercze">
    <w:name w:val="Hyperlink"/>
    <w:basedOn w:val="Domylnaczcionkaakapitu"/>
    <w:uiPriority w:val="99"/>
    <w:unhideWhenUsed/>
    <w:rsid w:val="0031756F"/>
    <w:rPr>
      <w:color w:val="0000FF" w:themeColor="hyperlink"/>
      <w:u w:val="single"/>
    </w:rPr>
  </w:style>
  <w:style w:type="character" w:customStyle="1" w:styleId="Nagwek1Znak">
    <w:name w:val="Nagłówek 1 Znak"/>
    <w:basedOn w:val="Domylnaczcionkaakapitu"/>
    <w:link w:val="Nagwek1"/>
    <w:uiPriority w:val="9"/>
    <w:rsid w:val="00D9399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D755AB"/>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unhideWhenUsed/>
    <w:qFormat/>
    <w:rsid w:val="00D755AB"/>
    <w:pPr>
      <w:outlineLvl w:val="9"/>
    </w:pPr>
    <w:rPr>
      <w:lang w:eastAsia="pl-PL"/>
    </w:rPr>
  </w:style>
  <w:style w:type="paragraph" w:styleId="Spistreci1">
    <w:name w:val="toc 1"/>
    <w:basedOn w:val="Normalny"/>
    <w:next w:val="Normalny"/>
    <w:autoRedefine/>
    <w:uiPriority w:val="39"/>
    <w:unhideWhenUsed/>
    <w:rsid w:val="00D755AB"/>
    <w:pPr>
      <w:spacing w:after="100"/>
    </w:pPr>
  </w:style>
  <w:style w:type="paragraph" w:styleId="Spistreci2">
    <w:name w:val="toc 2"/>
    <w:basedOn w:val="Normalny"/>
    <w:next w:val="Normalny"/>
    <w:autoRedefine/>
    <w:uiPriority w:val="39"/>
    <w:unhideWhenUsed/>
    <w:rsid w:val="00D755A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93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755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5EE2"/>
    <w:pPr>
      <w:ind w:left="720"/>
      <w:contextualSpacing/>
    </w:pPr>
  </w:style>
  <w:style w:type="paragraph" w:styleId="Tekstdymka">
    <w:name w:val="Balloon Text"/>
    <w:basedOn w:val="Normalny"/>
    <w:link w:val="TekstdymkaZnak"/>
    <w:uiPriority w:val="99"/>
    <w:semiHidden/>
    <w:unhideWhenUsed/>
    <w:rsid w:val="000752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527A"/>
    <w:rPr>
      <w:rFonts w:ascii="Tahoma" w:hAnsi="Tahoma" w:cs="Tahoma"/>
      <w:sz w:val="16"/>
      <w:szCs w:val="16"/>
    </w:rPr>
  </w:style>
  <w:style w:type="paragraph" w:styleId="Nagwek">
    <w:name w:val="header"/>
    <w:basedOn w:val="Normalny"/>
    <w:link w:val="NagwekZnak"/>
    <w:uiPriority w:val="99"/>
    <w:unhideWhenUsed/>
    <w:rsid w:val="003175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756F"/>
  </w:style>
  <w:style w:type="paragraph" w:styleId="Stopka">
    <w:name w:val="footer"/>
    <w:basedOn w:val="Normalny"/>
    <w:link w:val="StopkaZnak"/>
    <w:uiPriority w:val="99"/>
    <w:unhideWhenUsed/>
    <w:rsid w:val="003175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756F"/>
  </w:style>
  <w:style w:type="character" w:styleId="Hipercze">
    <w:name w:val="Hyperlink"/>
    <w:basedOn w:val="Domylnaczcionkaakapitu"/>
    <w:uiPriority w:val="99"/>
    <w:unhideWhenUsed/>
    <w:rsid w:val="0031756F"/>
    <w:rPr>
      <w:color w:val="0000FF" w:themeColor="hyperlink"/>
      <w:u w:val="single"/>
    </w:rPr>
  </w:style>
  <w:style w:type="character" w:customStyle="1" w:styleId="Nagwek1Znak">
    <w:name w:val="Nagłówek 1 Znak"/>
    <w:basedOn w:val="Domylnaczcionkaakapitu"/>
    <w:link w:val="Nagwek1"/>
    <w:uiPriority w:val="9"/>
    <w:rsid w:val="00D9399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D755AB"/>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unhideWhenUsed/>
    <w:qFormat/>
    <w:rsid w:val="00D755AB"/>
    <w:pPr>
      <w:outlineLvl w:val="9"/>
    </w:pPr>
    <w:rPr>
      <w:lang w:eastAsia="pl-PL"/>
    </w:rPr>
  </w:style>
  <w:style w:type="paragraph" w:styleId="Spistreci1">
    <w:name w:val="toc 1"/>
    <w:basedOn w:val="Normalny"/>
    <w:next w:val="Normalny"/>
    <w:autoRedefine/>
    <w:uiPriority w:val="39"/>
    <w:unhideWhenUsed/>
    <w:rsid w:val="00D755AB"/>
    <w:pPr>
      <w:spacing w:after="100"/>
    </w:pPr>
  </w:style>
  <w:style w:type="paragraph" w:styleId="Spistreci2">
    <w:name w:val="toc 2"/>
    <w:basedOn w:val="Normalny"/>
    <w:next w:val="Normalny"/>
    <w:autoRedefine/>
    <w:uiPriority w:val="39"/>
    <w:unhideWhenUsed/>
    <w:rsid w:val="00D755A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EA59-111F-4CA9-83EC-F515CAD2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4207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Zawadzka</dc:creator>
  <cp:lastModifiedBy>Marta Zawadzka</cp:lastModifiedBy>
  <cp:revision>3</cp:revision>
  <cp:lastPrinted>2020-01-17T12:46:00Z</cp:lastPrinted>
  <dcterms:created xsi:type="dcterms:W3CDTF">2020-09-22T13:48:00Z</dcterms:created>
  <dcterms:modified xsi:type="dcterms:W3CDTF">2020-09-22T13:53:00Z</dcterms:modified>
</cp:coreProperties>
</file>